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2916" w14:textId="0255B28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bookmarkStart w:id="0" w:name="_GoBack"/>
      <w:bookmarkEnd w:id="0"/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80142" w14:textId="77777777" w:rsidR="00061FCC" w:rsidRDefault="00061FCC" w:rsidP="00B60789">
      <w:pPr>
        <w:spacing w:line="240" w:lineRule="auto"/>
      </w:pPr>
      <w:r>
        <w:separator/>
      </w:r>
    </w:p>
  </w:endnote>
  <w:endnote w:type="continuationSeparator" w:id="0">
    <w:p w14:paraId="39E6ECCE" w14:textId="77777777" w:rsidR="00061FCC" w:rsidRDefault="00061FC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0239" w14:textId="77777777" w:rsidR="00061FCC" w:rsidRDefault="00061FCC" w:rsidP="00B60789">
      <w:pPr>
        <w:spacing w:line="240" w:lineRule="auto"/>
      </w:pPr>
      <w:r>
        <w:separator/>
      </w:r>
    </w:p>
  </w:footnote>
  <w:footnote w:type="continuationSeparator" w:id="0">
    <w:p w14:paraId="223268E8" w14:textId="77777777" w:rsidR="00061FCC" w:rsidRDefault="00061FC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BBF4" w14:textId="47DDDDE2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3706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067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1EA5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3717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Jagiełło</dc:creator>
  <cp:keywords/>
  <dc:description/>
  <cp:lastModifiedBy>Artur Jagiełło</cp:lastModifiedBy>
  <cp:revision>3</cp:revision>
  <cp:lastPrinted>2024-07-30T12:49:00Z</cp:lastPrinted>
  <dcterms:created xsi:type="dcterms:W3CDTF">2024-07-30T14:48:00Z</dcterms:created>
  <dcterms:modified xsi:type="dcterms:W3CDTF">2024-07-31T08:55:00Z</dcterms:modified>
</cp:coreProperties>
</file>